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732"/>
        <w:gridCol w:w="3365"/>
        <w:gridCol w:w="1840"/>
      </w:tblGrid>
      <w:tr w:rsidR="00F67138" w:rsidRPr="004D0646" w:rsidTr="004D0646">
        <w:tc>
          <w:tcPr>
            <w:tcW w:w="9781" w:type="dxa"/>
            <w:gridSpan w:val="4"/>
          </w:tcPr>
          <w:bookmarkStart w:id="0" w:name="%D0%A2%D0%B5%D0%BA%D1%81%D1%821"/>
          <w:p w:rsidR="004D0646" w:rsidRDefault="00F67138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8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</w:t>
            </w:r>
          </w:p>
          <w:p w:rsidR="00F67138" w:rsidRDefault="007A634A" w:rsidP="004D0646">
            <w:pPr>
              <w:widowControl/>
              <w:suppressAutoHyphens/>
              <w:autoSpaceDE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ПОДОСИНО</w:t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t>ВСКОГО ГОРОДСКОГО ПОСЕЛЕНИЯ</w:t>
            </w:r>
            <w:r w:rsidR="00F67138">
              <w:fldChar w:fldCharType="end"/>
            </w:r>
            <w:bookmarkEnd w:id="0"/>
            <w:r w:rsidR="00F67138">
              <w:rPr>
                <w:lang w:val="ru-RU"/>
              </w:rPr>
              <w:t xml:space="preserve"> </w:t>
            </w:r>
            <w:r w:rsidR="00F67138">
              <w:rPr>
                <w:b/>
                <w:sz w:val="28"/>
                <w:szCs w:val="28"/>
                <w:lang w:val="ru-RU"/>
              </w:rPr>
              <w:t>ПОДОСИНОВСКОГО РАЙОНА</w:t>
            </w:r>
            <w:bookmarkStart w:id="1" w:name="%D0%A2%D0%B5%D0%BA%D1%81%D1%822"/>
            <w:r w:rsidR="004D06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F67138">
              <w:fldChar w:fldCharType="begin"/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 w:rsidR="00F67138">
              <w:fldChar w:fldCharType="separate"/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 w:rsidR="00F67138">
              <w:fldChar w:fldCharType="end"/>
            </w:r>
            <w:bookmarkEnd w:id="1"/>
          </w:p>
          <w:p w:rsidR="004D0646" w:rsidRDefault="004D0646" w:rsidP="004D0646">
            <w:pPr>
              <w:widowControl/>
              <w:suppressAutoHyphens/>
              <w:autoSpaceDE/>
              <w:snapToGrid w:val="0"/>
              <w:jc w:val="center"/>
              <w:rPr>
                <w:lang w:val="ru-RU"/>
              </w:rPr>
            </w:pPr>
          </w:p>
          <w:p w:rsidR="004D0646" w:rsidRPr="004D0646" w:rsidRDefault="004D0646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F67138" w:rsidRDefault="00F67138" w:rsidP="004D0646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bookmarkStart w:id="2" w:name="%D0%A2%D0%B5%D0%BA%D1%81%D1%823"/>
            <w:r>
              <w:rPr>
                <w:rFonts w:eastAsia="Times New Roman"/>
                <w:b/>
                <w:sz w:val="32"/>
                <w:szCs w:val="32"/>
                <w:lang w:val="ru-RU" w:eastAsia="ar-SA"/>
              </w:rPr>
              <w:t>ПОСТАНОВЛЕНИЕ</w:t>
            </w:r>
            <w:bookmarkEnd w:id="2"/>
          </w:p>
        </w:tc>
      </w:tr>
      <w:tr w:rsidR="00F67138" w:rsidTr="004D0646"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6F37" w:rsidRDefault="00F67138" w:rsidP="004D0646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ind w:left="-70" w:firstLine="7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      </w:t>
            </w:r>
          </w:p>
          <w:p w:rsidR="00F67138" w:rsidRPr="002B6F37" w:rsidRDefault="002B6F37" w:rsidP="002B6F37">
            <w:pPr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12.10.2023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F67138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3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0646" w:rsidRDefault="004D0646" w:rsidP="004D0646">
            <w:pPr>
              <w:widowControl/>
              <w:suppressAutoHyphens/>
              <w:autoSpaceDE/>
              <w:snapToGrid w:val="0"/>
              <w:jc w:val="right"/>
              <w:rPr>
                <w:rFonts w:eastAsia="Times New Roman"/>
                <w:position w:val="-5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position w:val="-5"/>
                <w:sz w:val="28"/>
                <w:szCs w:val="28"/>
                <w:lang w:val="ru-RU" w:eastAsia="ar-SA"/>
              </w:rPr>
              <w:t xml:space="preserve">    </w:t>
            </w:r>
          </w:p>
          <w:p w:rsidR="00F67138" w:rsidRPr="004D0646" w:rsidRDefault="004D0646" w:rsidP="004D0646">
            <w:pPr>
              <w:jc w:val="right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6F37" w:rsidRDefault="002B6F37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F67138" w:rsidRPr="002B6F37" w:rsidRDefault="002B6F37" w:rsidP="002B6F37">
            <w:pPr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111</w:t>
            </w:r>
          </w:p>
        </w:tc>
      </w:tr>
      <w:tr w:rsidR="00F67138" w:rsidTr="004D0646"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F67138" w:rsidP="004D0646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F67138" w:rsidRDefault="00F67138" w:rsidP="004D0646">
            <w:pPr>
              <w:widowControl/>
              <w:tabs>
                <w:tab w:val="left" w:pos="1773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F67138" w:rsidRDefault="00F67138" w:rsidP="0036096A">
      <w:pPr>
        <w:widowControl/>
        <w:suppressAutoHyphens/>
        <w:autoSpaceDE/>
        <w:jc w:val="center"/>
        <w:rPr>
          <w:rFonts w:eastAsia="Times New Roman"/>
          <w:sz w:val="28"/>
          <w:szCs w:val="28"/>
          <w:lang w:val="ru-RU" w:eastAsia="ar-SA"/>
        </w:rPr>
      </w:pPr>
    </w:p>
    <w:tbl>
      <w:tblPr>
        <w:tblW w:w="7371" w:type="dxa"/>
        <w:jc w:val="center"/>
        <w:tblInd w:w="1172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F67138" w:rsidRPr="002B6F37" w:rsidTr="0036096A">
        <w:trPr>
          <w:trHeight w:val="1481"/>
          <w:jc w:val="center"/>
        </w:trPr>
        <w:tc>
          <w:tcPr>
            <w:tcW w:w="7371" w:type="dxa"/>
          </w:tcPr>
          <w:p w:rsidR="0036096A" w:rsidRPr="0036096A" w:rsidRDefault="0036096A" w:rsidP="0036096A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городского поселения от 09.06.2022 № 46 «</w:t>
            </w:r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>Об утверждении муниципальной программы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городского поселения</w:t>
            </w:r>
          </w:p>
          <w:p w:rsidR="0036096A" w:rsidRPr="0036096A" w:rsidRDefault="0036096A" w:rsidP="0036096A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proofErr w:type="spellStart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района Кировской области</w:t>
            </w:r>
          </w:p>
          <w:p w:rsidR="00F67138" w:rsidRDefault="0036096A" w:rsidP="0036096A">
            <w:pPr>
              <w:suppressAutoHyphens/>
              <w:adjustRightInd w:val="0"/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«Развитие 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строительства и архитектуры» </w:t>
            </w:r>
          </w:p>
          <w:p w:rsidR="0036096A" w:rsidRDefault="0036096A" w:rsidP="00747BBC">
            <w:pPr>
              <w:suppressAutoHyphens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F67138" w:rsidRDefault="00F67138" w:rsidP="004D0646">
      <w:pPr>
        <w:shd w:val="clear" w:color="auto" w:fill="FFFFFF"/>
        <w:adjustRightInd w:val="0"/>
        <w:spacing w:before="10" w:line="360" w:lineRule="auto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  <w:lang w:val="ru-RU" w:eastAsia="ru-RU"/>
        </w:rPr>
        <w:t xml:space="preserve">          </w:t>
      </w:r>
      <w:r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 xml:space="preserve">  </w:t>
      </w:r>
      <w:r w:rsidR="004D0646"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>В соответствии с Градостроительным кодексом Российской Федерации</w:t>
      </w:r>
      <w:r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Администрация </w:t>
      </w:r>
      <w:proofErr w:type="spellStart"/>
      <w:r w:rsidR="007A634A">
        <w:rPr>
          <w:rFonts w:eastAsia="Times New Roman"/>
          <w:color w:val="000000"/>
          <w:sz w:val="28"/>
          <w:szCs w:val="28"/>
          <w:lang w:val="ru-RU" w:eastAsia="ru-RU"/>
        </w:rPr>
        <w:t>Подосино</w:t>
      </w:r>
      <w:r>
        <w:rPr>
          <w:rFonts w:eastAsia="Times New Roman"/>
          <w:color w:val="000000"/>
          <w:sz w:val="28"/>
          <w:szCs w:val="28"/>
          <w:lang w:val="ru-RU" w:eastAsia="ru-RU"/>
        </w:rPr>
        <w:t>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городского поселения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ru-RU"/>
        </w:rPr>
        <w:t>Подосиновского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района</w:t>
      </w:r>
      <w:r w:rsidR="004D0646">
        <w:rPr>
          <w:rFonts w:eastAsia="Times New Roman"/>
          <w:color w:val="000000"/>
          <w:sz w:val="28"/>
          <w:szCs w:val="28"/>
          <w:lang w:val="ru-RU" w:eastAsia="ru-RU"/>
        </w:rPr>
        <w:t xml:space="preserve"> Кировской области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  <w:lang w:val="ru-RU" w:eastAsia="ru-RU"/>
        </w:rPr>
        <w:t>ПОСТАНОВЛЯЕТ:</w:t>
      </w:r>
    </w:p>
    <w:p w:rsidR="00F67138" w:rsidRDefault="00F67138" w:rsidP="00431772">
      <w:pPr>
        <w:widowControl/>
        <w:suppressAutoHyphens/>
        <w:autoSpaceDE/>
        <w:spacing w:line="360" w:lineRule="auto"/>
        <w:ind w:firstLine="851"/>
        <w:jc w:val="both"/>
        <w:rPr>
          <w:rFonts w:eastAsia="Times New Roman"/>
          <w:color w:val="000000"/>
          <w:spacing w:val="-1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1.</w:t>
      </w:r>
      <w:r w:rsidR="004D0646">
        <w:rPr>
          <w:rFonts w:eastAsia="Times New Roman"/>
          <w:sz w:val="28"/>
          <w:szCs w:val="28"/>
          <w:lang w:val="ru-RU" w:eastAsia="ar-SA"/>
        </w:rPr>
        <w:t xml:space="preserve"> </w:t>
      </w:r>
      <w:r w:rsidR="0036096A">
        <w:rPr>
          <w:rFonts w:eastAsia="Times New Roman"/>
          <w:sz w:val="28"/>
          <w:szCs w:val="28"/>
          <w:lang w:val="ru-RU" w:eastAsia="ar-SA"/>
        </w:rPr>
        <w:t>В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>нес</w:t>
      </w:r>
      <w:r w:rsidR="0036096A">
        <w:rPr>
          <w:rFonts w:eastAsia="Times New Roman"/>
          <w:sz w:val="28"/>
          <w:szCs w:val="28"/>
          <w:lang w:val="ru-RU" w:eastAsia="ar-SA"/>
        </w:rPr>
        <w:t>ти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изменени</w:t>
      </w:r>
      <w:r w:rsidR="0036096A">
        <w:rPr>
          <w:rFonts w:eastAsia="Times New Roman"/>
          <w:sz w:val="28"/>
          <w:szCs w:val="28"/>
          <w:lang w:val="ru-RU" w:eastAsia="ar-SA"/>
        </w:rPr>
        <w:t>я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в постановление Администрации </w:t>
      </w:r>
      <w:proofErr w:type="spellStart"/>
      <w:r w:rsidR="0036096A" w:rsidRPr="0036096A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городского поселения от </w:t>
      </w:r>
      <w:smartTag w:uri="urn:schemas-microsoft-com:office:smarttags" w:element="date">
        <w:smartTagPr>
          <w:attr w:name="ls" w:val="trans"/>
          <w:attr w:name="Month" w:val="06"/>
          <w:attr w:name="Day" w:val="09"/>
          <w:attr w:name="Year" w:val="2022"/>
        </w:smartTagPr>
        <w:r w:rsidR="0036096A" w:rsidRPr="0036096A">
          <w:rPr>
            <w:rFonts w:eastAsia="Times New Roman"/>
            <w:sz w:val="28"/>
            <w:szCs w:val="28"/>
            <w:lang w:val="ru-RU" w:eastAsia="ar-SA"/>
          </w:rPr>
          <w:t>09.06.2022</w:t>
        </w:r>
      </w:smartTag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№ 46 «Об утверждении муниципальной программы </w:t>
      </w:r>
      <w:proofErr w:type="spellStart"/>
      <w:r w:rsidR="0036096A" w:rsidRPr="0036096A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городского поселения</w:t>
      </w:r>
      <w:r w:rsidR="0036096A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="0036096A" w:rsidRPr="0036096A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района Кировской области</w:t>
      </w:r>
      <w:r w:rsidR="0036096A">
        <w:rPr>
          <w:rFonts w:eastAsia="Times New Roman"/>
          <w:sz w:val="28"/>
          <w:szCs w:val="28"/>
          <w:lang w:val="ru-RU" w:eastAsia="ar-SA"/>
        </w:rPr>
        <w:t xml:space="preserve"> 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>«Развитие строительства и архитектуры»</w:t>
      </w:r>
      <w:r w:rsidR="0036096A">
        <w:rPr>
          <w:rFonts w:eastAsia="Times New Roman"/>
          <w:sz w:val="28"/>
          <w:szCs w:val="28"/>
          <w:lang w:val="ru-RU" w:eastAsia="ar-SA"/>
        </w:rPr>
        <w:t xml:space="preserve">, утвердив в новой редакции </w:t>
      </w:r>
      <w:r w:rsidR="00431772">
        <w:rPr>
          <w:rFonts w:eastAsia="Times New Roman"/>
          <w:sz w:val="28"/>
          <w:szCs w:val="28"/>
          <w:lang w:val="ru-RU" w:eastAsia="ar-SA"/>
        </w:rPr>
        <w:t>муниципальную</w:t>
      </w:r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программ</w:t>
      </w:r>
      <w:r w:rsidR="00431772">
        <w:rPr>
          <w:rFonts w:eastAsia="Times New Roman"/>
          <w:sz w:val="28"/>
          <w:szCs w:val="28"/>
          <w:lang w:val="ru-RU" w:eastAsia="ar-SA"/>
        </w:rPr>
        <w:t>у</w:t>
      </w:r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="00431772" w:rsidRPr="00431772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городского поселения </w:t>
      </w:r>
      <w:proofErr w:type="spellStart"/>
      <w:r w:rsidR="00431772" w:rsidRPr="00431772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района Кировской области</w:t>
      </w:r>
      <w:r w:rsidR="00431772">
        <w:rPr>
          <w:rFonts w:eastAsia="Times New Roman"/>
          <w:sz w:val="28"/>
          <w:szCs w:val="28"/>
          <w:lang w:val="ru-RU" w:eastAsia="ar-SA"/>
        </w:rPr>
        <w:t xml:space="preserve"> </w:t>
      </w:r>
      <w:r w:rsidR="00431772" w:rsidRPr="00431772">
        <w:rPr>
          <w:rFonts w:eastAsia="Times New Roman"/>
          <w:sz w:val="28"/>
          <w:szCs w:val="28"/>
          <w:lang w:val="ru-RU" w:eastAsia="ar-SA"/>
        </w:rPr>
        <w:t>«Развитие строительства и архитектуры»</w:t>
      </w:r>
      <w:r w:rsidR="00431772">
        <w:rPr>
          <w:rFonts w:eastAsia="Times New Roman"/>
          <w:sz w:val="28"/>
          <w:szCs w:val="28"/>
          <w:lang w:val="ru-RU" w:eastAsia="ar-SA"/>
        </w:rPr>
        <w:t xml:space="preserve"> согласно приложению</w:t>
      </w: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.</w:t>
      </w:r>
    </w:p>
    <w:p w:rsidR="00F67138" w:rsidRDefault="00F67138" w:rsidP="00431772">
      <w:pPr>
        <w:widowControl/>
        <w:suppressAutoHyphens/>
        <w:autoSpaceDE/>
        <w:spacing w:line="360" w:lineRule="auto"/>
        <w:ind w:firstLine="851"/>
        <w:jc w:val="both"/>
        <w:rPr>
          <w:rFonts w:eastAsia="Times New Roman"/>
          <w:color w:val="000000"/>
          <w:spacing w:val="-1"/>
          <w:sz w:val="28"/>
          <w:szCs w:val="28"/>
          <w:lang w:val="ru-RU" w:eastAsia="ar-SA"/>
        </w:rPr>
      </w:pP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2. </w:t>
      </w:r>
      <w:r w:rsid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О</w:t>
      </w:r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публиковать </w:t>
      </w:r>
      <w:r w:rsid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н</w:t>
      </w:r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астоящее </w:t>
      </w:r>
      <w:r w:rsid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постановление</w:t>
      </w:r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в Информационном бюллетене органов местного самоуправления </w:t>
      </w:r>
      <w:proofErr w:type="spellStart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городского поселения </w:t>
      </w:r>
      <w:proofErr w:type="spellStart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района Кировской области и разместить на официальном сайте Администрации </w:t>
      </w:r>
      <w:proofErr w:type="spellStart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городского поселения </w:t>
      </w:r>
      <w:hyperlink r:id="rId7" w:history="1">
        <w:r w:rsidR="00431772" w:rsidRPr="00431772">
          <w:rPr>
            <w:rStyle w:val="a4"/>
            <w:rFonts w:eastAsia="Times New Roman"/>
            <w:color w:val="auto"/>
            <w:spacing w:val="-1"/>
            <w:sz w:val="28"/>
            <w:szCs w:val="28"/>
            <w:u w:val="none"/>
            <w:lang w:val="ru-RU" w:eastAsia="ar-SA"/>
          </w:rPr>
          <w:t>https://podosinovskoe-r43.gosweb.gosuslugi.ru</w:t>
        </w:r>
      </w:hyperlink>
      <w:r w:rsidR="00431772" w:rsidRPr="00431772">
        <w:rPr>
          <w:rFonts w:eastAsia="Times New Roman"/>
          <w:spacing w:val="-1"/>
          <w:sz w:val="28"/>
          <w:szCs w:val="28"/>
          <w:lang w:val="ru-RU" w:eastAsia="ar-SA"/>
        </w:rPr>
        <w:t>.</w:t>
      </w:r>
    </w:p>
    <w:p w:rsidR="00431772" w:rsidRDefault="00431772" w:rsidP="00431772">
      <w:pPr>
        <w:widowControl/>
        <w:suppressAutoHyphens/>
        <w:autoSpaceDE/>
        <w:spacing w:line="360" w:lineRule="auto"/>
        <w:ind w:firstLine="851"/>
        <w:jc w:val="both"/>
        <w:rPr>
          <w:rFonts w:eastAsia="Arial Unicode MS" w:cs="Mangal"/>
          <w:kern w:val="2"/>
          <w:sz w:val="28"/>
          <w:szCs w:val="24"/>
          <w:lang w:val="ru-RU" w:eastAsia="hi-IN" w:bidi="hi-IN"/>
        </w:rPr>
      </w:pPr>
    </w:p>
    <w:p w:rsidR="00F67138" w:rsidRDefault="00431772" w:rsidP="004D0646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Г</w:t>
      </w:r>
      <w:r w:rsidR="00F67138">
        <w:rPr>
          <w:rFonts w:eastAsia="Arial Unicode MS" w:cs="Mangal"/>
          <w:kern w:val="2"/>
          <w:sz w:val="28"/>
          <w:szCs w:val="24"/>
          <w:lang w:val="ru-RU" w:eastAsia="hi-IN" w:bidi="hi-IN"/>
        </w:rPr>
        <w:t>лав</w:t>
      </w:r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а</w:t>
      </w:r>
      <w:r w:rsidR="00F67138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Администрации </w:t>
      </w:r>
    </w:p>
    <w:p w:rsidR="00F67138" w:rsidRPr="00016E82" w:rsidRDefault="007A634A" w:rsidP="00431772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  <w:proofErr w:type="spellStart"/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Подосино</w:t>
      </w:r>
      <w:r w:rsidR="00F67138" w:rsidRP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>вского</w:t>
      </w:r>
      <w:proofErr w:type="spellEnd"/>
      <w:r w:rsidR="00F67138" w:rsidRP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городского поселения</w:t>
      </w:r>
      <w:r w:rsid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    </w:t>
      </w:r>
      <w:r w:rsidR="0043177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М.В. </w:t>
      </w:r>
      <w:proofErr w:type="spellStart"/>
      <w:r w:rsidR="00431772">
        <w:rPr>
          <w:rFonts w:eastAsia="Arial Unicode MS" w:cs="Mangal"/>
          <w:kern w:val="2"/>
          <w:sz w:val="28"/>
          <w:szCs w:val="24"/>
          <w:lang w:val="ru-RU" w:eastAsia="hi-IN" w:bidi="hi-IN"/>
        </w:rPr>
        <w:t>Крумоумова</w:t>
      </w:r>
      <w:proofErr w:type="spellEnd"/>
    </w:p>
    <w:p w:rsidR="00CD3573" w:rsidRDefault="00CB7E4E" w:rsidP="002B6F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7E4E" w:rsidRPr="004C4A9C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B7E4E">
        <w:rPr>
          <w:rFonts w:ascii="Times New Roman" w:hAnsi="Times New Roman" w:cs="Times New Roman"/>
          <w:sz w:val="28"/>
          <w:szCs w:val="28"/>
        </w:rPr>
        <w:t>Приложение</w:t>
      </w:r>
    </w:p>
    <w:p w:rsidR="00CB7E4E" w:rsidRDefault="00CB7E4E" w:rsidP="00CB7E4E">
      <w:pPr>
        <w:pStyle w:val="ConsPlusNormal"/>
        <w:widowControl/>
        <w:spacing w:line="360" w:lineRule="auto"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B7E4E" w:rsidP="00CB7E4E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B7E4E" w:rsidRDefault="00CB7E4E" w:rsidP="00CB7E4E">
      <w:pPr>
        <w:pStyle w:val="ConsPlusNormal"/>
        <w:widowControl/>
        <w:spacing w:line="276" w:lineRule="auto"/>
        <w:ind w:left="5400" w:firstLine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B7E4E" w:rsidP="00CB7E4E">
      <w:pPr>
        <w:pStyle w:val="ConsPlu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4C4A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7E4E" w:rsidRPr="004C4A9C" w:rsidRDefault="00CB7E4E" w:rsidP="00CB7E4E">
      <w:pPr>
        <w:pStyle w:val="ConsPlu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4A9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4C4A9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9C">
        <w:rPr>
          <w:rFonts w:ascii="Times New Roman" w:hAnsi="Times New Roman" w:cs="Times New Roman"/>
          <w:sz w:val="28"/>
          <w:szCs w:val="28"/>
        </w:rPr>
        <w:t xml:space="preserve">от </w:t>
      </w:r>
      <w:r w:rsidR="002B6F37">
        <w:rPr>
          <w:rFonts w:ascii="Times New Roman" w:hAnsi="Times New Roman" w:cs="Times New Roman"/>
          <w:sz w:val="28"/>
          <w:szCs w:val="28"/>
        </w:rPr>
        <w:t>12.10.2023</w:t>
      </w:r>
      <w:r w:rsidRPr="004C4A9C">
        <w:rPr>
          <w:rFonts w:ascii="Times New Roman" w:hAnsi="Times New Roman" w:cs="Times New Roman"/>
          <w:sz w:val="28"/>
          <w:szCs w:val="28"/>
        </w:rPr>
        <w:t xml:space="preserve"> № </w:t>
      </w:r>
      <w:r w:rsidR="002B6F37">
        <w:rPr>
          <w:rFonts w:ascii="Times New Roman" w:hAnsi="Times New Roman" w:cs="Times New Roman"/>
          <w:sz w:val="28"/>
          <w:szCs w:val="28"/>
        </w:rPr>
        <w:t>111</w:t>
      </w:r>
      <w:bookmarkStart w:id="3" w:name="_GoBack"/>
      <w:bookmarkEnd w:id="3"/>
      <w:r w:rsidRPr="004C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suppressAutoHyphens/>
        <w:autoSpaceDN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Муниципальная программа </w:t>
      </w:r>
      <w:proofErr w:type="spellStart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городского поселения </w:t>
      </w:r>
      <w:proofErr w:type="spellStart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района </w:t>
      </w:r>
      <w:r w:rsidR="00CD3573">
        <w:rPr>
          <w:rFonts w:eastAsia="Arial" w:cs="Arial"/>
          <w:b/>
          <w:sz w:val="28"/>
          <w:szCs w:val="28"/>
          <w:lang w:val="ru-RU" w:eastAsia="hi-IN" w:bidi="hi-IN"/>
        </w:rPr>
        <w:t>Кировской области</w:t>
      </w: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«Развитие строительства и архитектуры»</w:t>
      </w: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sz w:val="28"/>
          <w:szCs w:val="28"/>
          <w:lang w:val="ru-RU" w:eastAsia="hi-IN" w:bidi="hi-IN"/>
        </w:rPr>
      </w:pPr>
    </w:p>
    <w:p w:rsidR="004D0646" w:rsidRPr="004D0646" w:rsidRDefault="004D0646" w:rsidP="004D0646">
      <w:pPr>
        <w:suppressAutoHyphens/>
        <w:autoSpaceDN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747BBC" w:rsidRDefault="00747BBC" w:rsidP="00747BBC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856C3C" w:rsidRDefault="00856C3C" w:rsidP="00747BBC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856C3C" w:rsidRPr="00747BBC" w:rsidRDefault="00856C3C" w:rsidP="00747BBC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747BBC" w:rsidRPr="00747BBC" w:rsidRDefault="00747BBC" w:rsidP="00747BBC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lastRenderedPageBreak/>
        <w:t>ПАСПОРТ</w:t>
      </w:r>
    </w:p>
    <w:p w:rsidR="00747BBC" w:rsidRPr="00747BBC" w:rsidRDefault="00747BBC" w:rsidP="00747BBC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 xml:space="preserve">Муниципальной программы </w:t>
      </w:r>
    </w:p>
    <w:p w:rsidR="00747BBC" w:rsidRPr="00747BBC" w:rsidRDefault="00747BBC" w:rsidP="00747BBC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«Развитие строительства и архитектуры»</w:t>
      </w:r>
    </w:p>
    <w:p w:rsidR="00747BBC" w:rsidRPr="00747BBC" w:rsidRDefault="00747BBC" w:rsidP="00747BBC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747BBC" w:rsidRPr="002B6F37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Наименование заказчика программы (субъекта бюджетного планирования)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городского поселения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7BBC" w:rsidRPr="002B6F37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городского поселения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7BBC" w:rsidRPr="00747BBC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7BBC" w:rsidRPr="00747BBC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747BBC" w:rsidRPr="002B6F37" w:rsidTr="00747BBC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Arial CYR"/>
                <w:sz w:val="24"/>
                <w:szCs w:val="24"/>
                <w:lang w:val="ru-RU"/>
              </w:rPr>
            </w:pPr>
            <w:r w:rsidRPr="00747BBC">
              <w:rPr>
                <w:rFonts w:eastAsia="Arial CYR"/>
                <w:sz w:val="24"/>
                <w:szCs w:val="24"/>
                <w:lang w:val="ru-RU"/>
              </w:rPr>
              <w:t>реализация на территории поселения градостроительной политики</w:t>
            </w:r>
          </w:p>
        </w:tc>
      </w:tr>
      <w:tr w:rsidR="00747BBC" w:rsidRPr="002B6F37" w:rsidTr="00747BB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ind w:left="22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разработка градостроительной документации;</w:t>
            </w:r>
          </w:p>
          <w:p w:rsidR="00747BBC" w:rsidRPr="00747BBC" w:rsidRDefault="00747BBC" w:rsidP="00747BBC">
            <w:pPr>
              <w:widowControl/>
              <w:autoSpaceDE/>
              <w:autoSpaceDN/>
              <w:ind w:left="22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разработка документации по планировке территории.</w:t>
            </w:r>
          </w:p>
        </w:tc>
      </w:tr>
      <w:tr w:rsidR="00747BBC" w:rsidRPr="002B6F37" w:rsidTr="00747BBC">
        <w:trPr>
          <w:trHeight w:val="1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Целевые показатели эффективности реализации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количество  поселений,  утвердивших  Правила землепользования и застройки, в % исполнении</w:t>
            </w:r>
          </w:p>
        </w:tc>
      </w:tr>
      <w:tr w:rsidR="00747BBC" w:rsidRPr="002B6F37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Этапы и сроки реализации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2020-2025 годы, разделение на этапы не предусматривается</w:t>
            </w:r>
          </w:p>
        </w:tc>
      </w:tr>
      <w:tr w:rsidR="00747BBC" w:rsidRPr="00747BBC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Объёмы и источники финансирования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всего  – </w:t>
            </w:r>
            <w:r w:rsidRPr="00747BB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2837,0</w:t>
            </w:r>
            <w:r w:rsidRPr="00747BBC">
              <w:rPr>
                <w:sz w:val="24"/>
                <w:szCs w:val="24"/>
                <w:lang w:val="ru-RU"/>
              </w:rPr>
              <w:t xml:space="preserve"> тысяч рублей, в том числе: </w:t>
            </w:r>
          </w:p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средства  бюджета поселений – 463,7тысяч рублей,</w:t>
            </w:r>
          </w:p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средства  областного бюджета –2373,3 тысяч рублей</w:t>
            </w:r>
          </w:p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7BBC" w:rsidRPr="002B6F37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Ожидаемые конечные результаты реализации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к концу 2025 года:</w:t>
            </w:r>
          </w:p>
          <w:p w:rsidR="00747BBC" w:rsidRPr="00747BBC" w:rsidRDefault="00747BBC" w:rsidP="00747BB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подготовка сведений о границах  территориальных зон,  в % исполнении -100%</w:t>
            </w:r>
          </w:p>
          <w:p w:rsidR="00747BBC" w:rsidRPr="00747BBC" w:rsidRDefault="00747BBC" w:rsidP="00747BB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подготовка сведений о границах населенных пунктов,   в % исполнении -100%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856C3C" w:rsidRDefault="00856C3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856C3C" w:rsidRPr="00747BBC" w:rsidRDefault="00856C3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развития.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Проблема жилья в Кировской области и в </w:t>
      </w:r>
      <w:proofErr w:type="spellStart"/>
      <w:r w:rsidRPr="00747BBC">
        <w:rPr>
          <w:rFonts w:eastAsia="Times New Roman" w:cs="Calibri"/>
          <w:sz w:val="24"/>
          <w:szCs w:val="24"/>
          <w:lang w:val="ru-RU" w:eastAsia="ar-SA"/>
        </w:rPr>
        <w:t>Подосиновском</w:t>
      </w:r>
      <w:proofErr w:type="spellEnd"/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 районе в частности - одна из самых острых социально-экономических проблем. Она затрагивает интересы большинства граждан  района. 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Особое внимание следует уделить малоэтажному жилищному строительству. Для Кировской области и в частности для района проблема малоэтажного домостроения актуальна тем, что строительство жилья осуществляется неравномерно. 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Приоритет малоэтажного жилищного строительства заключается еще и в следующем: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простая процедура получения разрешительной документации (без проектной документации);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сравнительно низкая себестоимость при сохранении хорошего качества;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высокая скорость строительства;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простая адаптация проекта к местности, удобство и легкость реализации проектов, их экологическая безопасность;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широкие возможности использования типовых проектов;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не требуется экспертиза проектной документации и результатов инженерных изысканий;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не требуется квалифицированной рабочей силы при строительстве и сборке комплектов домов, произведенных в заводских условиях;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возможность использования альтернативных строительных материалов;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простая процедура сдачи объектов в эксплуатацию.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Для развития малоэтажного жилищного строительства в районе необходимо подготовить земельные участки: для этого, в первую очередь, нужно разработать проект планировки с проектом межевания, что в дальнейшем, упростит процедуру обеспечения  коммунальной инфраструктурой земельные участки под  комплексное жилищное строительство. Однако такие проекты планировки с проектом межевания стоят очень дорого, поэтому наиболее приемлемое решение-это межевание отдельных участков. 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Учитывая вышеизложенное, можно отметить, что на сегодняшний день основной проблемой, сдерживающей увеличение предложения жилья на первичном рынке, является отсутствие подготовленных для комплексной жилой застройки земельных участков, имеющих полное инфраструктурное обеспечение</w:t>
      </w:r>
      <w:r w:rsidRPr="00747BBC">
        <w:rPr>
          <w:rFonts w:eastAsia="Times New Roman"/>
          <w:b/>
          <w:color w:val="666666"/>
          <w:sz w:val="24"/>
          <w:szCs w:val="24"/>
          <w:lang w:val="ru-RU" w:eastAsia="ru-RU"/>
        </w:rPr>
        <w:t>.</w:t>
      </w: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 xml:space="preserve"> Инфраструктурное обеспечение земельных участков до границы ответственности должно осуществляться средствами муниципальных образований, однако в настоящее время деньги на эти мероприятия не закладываются. Кроме того, на развитие жилищного строительства в районе влияют покупательская и инвестиционная активность в строительстве, доступность кредитных </w:t>
      </w:r>
      <w:proofErr w:type="gramStart"/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ресурсов</w:t>
      </w:r>
      <w:proofErr w:type="gramEnd"/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 xml:space="preserve"> как для строительных организаций, так и для граждан. </w:t>
      </w:r>
    </w:p>
    <w:p w:rsidR="00747BBC" w:rsidRPr="00747BBC" w:rsidRDefault="00747BBC" w:rsidP="00747BBC">
      <w:pPr>
        <w:widowControl/>
        <w:autoSpaceDE/>
        <w:autoSpaceDN/>
        <w:ind w:firstLine="360"/>
        <w:jc w:val="both"/>
        <w:rPr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rFonts w:eastAsia="Times New Roman"/>
          <w:b/>
          <w:color w:val="666666"/>
          <w:sz w:val="28"/>
          <w:szCs w:val="28"/>
          <w:lang w:val="ru-RU" w:eastAsia="ru-RU"/>
        </w:rPr>
      </w:pPr>
      <w:r w:rsidRPr="00747BBC">
        <w:rPr>
          <w:rFonts w:eastAsia="Times New Roman"/>
          <w:b/>
          <w:color w:val="666666"/>
          <w:sz w:val="28"/>
          <w:szCs w:val="28"/>
          <w:lang w:val="ru-RU" w:eastAsia="ru-RU"/>
        </w:rPr>
        <w:t xml:space="preserve"> Приоритеты государственной и муниципальной политики в соответствующей 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Целью муниципальной программы является р</w:t>
      </w:r>
      <w:r w:rsidRPr="00747BBC">
        <w:rPr>
          <w:rFonts w:eastAsia="Arial CYR"/>
          <w:sz w:val="24"/>
          <w:szCs w:val="24"/>
          <w:lang w:val="ru-RU"/>
        </w:rPr>
        <w:t xml:space="preserve">еализация на территории поселения градостроительной политики, способствующей </w:t>
      </w: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созданию условий для развития жилищного строительства.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Для достижения этой цели должны быть решены следующие задачи:</w:t>
      </w:r>
    </w:p>
    <w:p w:rsidR="00747BBC" w:rsidRPr="00747BBC" w:rsidRDefault="00747BBC" w:rsidP="00747BBC">
      <w:pPr>
        <w:widowControl/>
        <w:autoSpaceDE/>
        <w:autoSpaceDN/>
        <w:ind w:left="502"/>
        <w:jc w:val="both"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 xml:space="preserve"> разработка градостроительной документации;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  <w:r w:rsidRPr="00747BBC">
        <w:rPr>
          <w:sz w:val="24"/>
          <w:szCs w:val="24"/>
          <w:lang w:val="ru-RU"/>
        </w:rPr>
        <w:t xml:space="preserve">разработка документации по планировке территории. 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lastRenderedPageBreak/>
        <w:t>Срок реализации муниципальной программы - 2020 - 2025 годы. Разделение реализации муниципальной программы на этапы не предусматривается.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 xml:space="preserve">Целевыми показателями оценки хода реализации муниципальной программы являются: </w:t>
      </w:r>
    </w:p>
    <w:p w:rsidR="00747BBC" w:rsidRPr="00747BBC" w:rsidRDefault="00747BBC" w:rsidP="00747BBC">
      <w:pPr>
        <w:widowControl/>
        <w:autoSpaceDE/>
        <w:autoSpaceDN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 xml:space="preserve">          подготовка сведений о границах  территориальных зон,  в % исполнении -100%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>подготовка сведений о границах населенных пунктов,   в % исполнении -100%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sz w:val="24"/>
          <w:szCs w:val="24"/>
          <w:lang w:val="ru-RU"/>
        </w:rPr>
      </w:pPr>
      <w:proofErr w:type="gramStart"/>
      <w:r w:rsidRPr="00747BBC">
        <w:rPr>
          <w:color w:val="000000"/>
          <w:sz w:val="24"/>
          <w:szCs w:val="24"/>
          <w:lang w:val="ru-RU"/>
        </w:rPr>
        <w:t>приведен</w:t>
      </w:r>
      <w:proofErr w:type="gramEnd"/>
      <w:r w:rsidRPr="00747BBC">
        <w:rPr>
          <w:color w:val="000000"/>
          <w:sz w:val="24"/>
          <w:szCs w:val="24"/>
          <w:lang w:val="ru-RU"/>
        </w:rPr>
        <w:t xml:space="preserve"> в таблице 1к программе</w:t>
      </w:r>
      <w:r w:rsidRPr="00747BBC">
        <w:rPr>
          <w:sz w:val="24"/>
          <w:szCs w:val="24"/>
          <w:lang w:val="ru-RU"/>
        </w:rPr>
        <w:t>.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ascii="Calibri" w:eastAsia="Arial" w:hAnsi="Calibri"/>
          <w:sz w:val="24"/>
          <w:szCs w:val="24"/>
          <w:lang w:val="ru-RU"/>
        </w:rPr>
      </w:pPr>
    </w:p>
    <w:p w:rsidR="00747BBC" w:rsidRPr="00747BBC" w:rsidRDefault="00747BBC" w:rsidP="00747BBC">
      <w:pPr>
        <w:widowControl/>
        <w:autoSpaceDN/>
        <w:spacing w:after="120"/>
        <w:ind w:firstLine="540"/>
        <w:jc w:val="both"/>
        <w:rPr>
          <w:rFonts w:eastAsia="Arial"/>
          <w:sz w:val="24"/>
          <w:szCs w:val="24"/>
          <w:lang w:val="ru-RU" w:eastAsia="ar-SA"/>
        </w:rPr>
      </w:pPr>
      <w:r w:rsidRPr="00747BBC">
        <w:rPr>
          <w:rFonts w:eastAsia="Arial"/>
          <w:b/>
          <w:sz w:val="24"/>
          <w:szCs w:val="24"/>
          <w:lang w:val="ru-RU" w:eastAsia="ar-SA"/>
        </w:rPr>
        <w:t xml:space="preserve">Сведения о целевых показателях эффективности реализации муниципальной программы </w:t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  <w:t xml:space="preserve">     </w:t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  <w:t xml:space="preserve">      </w:t>
      </w:r>
      <w:r w:rsidR="00856C3C" w:rsidRPr="00856C3C">
        <w:rPr>
          <w:rFonts w:eastAsia="Arial"/>
          <w:sz w:val="24"/>
          <w:szCs w:val="24"/>
          <w:lang w:val="ru-RU" w:eastAsia="ar-SA"/>
        </w:rPr>
        <w:t>Т</w:t>
      </w:r>
      <w:r w:rsidRPr="00747BBC">
        <w:rPr>
          <w:rFonts w:eastAsia="Arial"/>
          <w:sz w:val="24"/>
          <w:szCs w:val="24"/>
          <w:lang w:val="ru-RU" w:eastAsia="ar-SA"/>
        </w:rPr>
        <w:t>аблица</w:t>
      </w:r>
      <w:r w:rsidR="00856C3C">
        <w:rPr>
          <w:rFonts w:eastAsia="Arial"/>
          <w:sz w:val="24"/>
          <w:szCs w:val="24"/>
          <w:lang w:val="ru-RU" w:eastAsia="ar-SA"/>
        </w:rPr>
        <w:t xml:space="preserve"> </w:t>
      </w:r>
      <w:r w:rsidRPr="00747BBC">
        <w:rPr>
          <w:rFonts w:eastAsia="Arial"/>
          <w:sz w:val="24"/>
          <w:szCs w:val="24"/>
          <w:lang w:val="ru-RU" w:eastAsia="ar-SA"/>
        </w:rPr>
        <w:t>1</w:t>
      </w:r>
    </w:p>
    <w:tbl>
      <w:tblPr>
        <w:tblStyle w:val="a3"/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5"/>
        <w:gridCol w:w="2695"/>
        <w:gridCol w:w="994"/>
        <w:gridCol w:w="708"/>
        <w:gridCol w:w="945"/>
        <w:gridCol w:w="870"/>
        <w:gridCol w:w="879"/>
        <w:gridCol w:w="852"/>
        <w:gridCol w:w="707"/>
      </w:tblGrid>
      <w:tr w:rsidR="00747BBC" w:rsidRPr="00747BBC" w:rsidTr="00747B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Наименование муниципальной программы, ведомственной целевой программы, отдельных мероприятий и подпрограмм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Единица 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sz w:val="24"/>
                <w:szCs w:val="24"/>
                <w:lang w:val="ru-RU" w:eastAsia="ar-SA"/>
              </w:rPr>
            </w:pPr>
            <w:r w:rsidRPr="00747BBC">
              <w:rPr>
                <w:rFonts w:eastAsia="Arial"/>
                <w:sz w:val="24"/>
                <w:szCs w:val="24"/>
                <w:lang w:val="ru-RU" w:eastAsia="ar-SA"/>
              </w:rPr>
              <w:t>Значение показателей эффективности</w:t>
            </w:r>
          </w:p>
        </w:tc>
      </w:tr>
      <w:tr w:rsidR="00747BBC" w:rsidRPr="00747BBC" w:rsidTr="00747B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Arial"/>
                <w:lang w:val="ru-RU"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Arial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Arial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2025</w:t>
            </w:r>
          </w:p>
        </w:tc>
      </w:tr>
      <w:tr w:rsidR="00747BBC" w:rsidRPr="00747BBC" w:rsidTr="00747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Муниципальная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«Развитие строительства и архитектуры»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100</w:t>
            </w:r>
          </w:p>
        </w:tc>
      </w:tr>
    </w:tbl>
    <w:p w:rsidR="00747BBC" w:rsidRPr="00747BBC" w:rsidRDefault="00747BBC" w:rsidP="00747BBC">
      <w:pPr>
        <w:widowControl/>
        <w:autoSpaceDN/>
        <w:spacing w:after="120"/>
        <w:ind w:firstLine="540"/>
        <w:jc w:val="both"/>
        <w:rPr>
          <w:rFonts w:eastAsia="Arial"/>
          <w:sz w:val="24"/>
          <w:szCs w:val="24"/>
          <w:lang w:val="ru-RU" w:eastAsia="ar-SA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b/>
          <w:sz w:val="28"/>
          <w:szCs w:val="28"/>
          <w:lang w:val="ru-RU"/>
        </w:rPr>
        <w:t>Обобщённая характеристика мероприятий муниципальной программы.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                                                                </w:t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  <w:t xml:space="preserve">                                                                         Таблица 2</w:t>
      </w:r>
    </w:p>
    <w:p w:rsidR="00747BBC" w:rsidRPr="00747BBC" w:rsidRDefault="00747BBC" w:rsidP="00856C3C">
      <w:pPr>
        <w:widowControl/>
        <w:autoSpaceDE/>
        <w:autoSpaceDN/>
        <w:rPr>
          <w:rFonts w:eastAsia="Times New Roman"/>
          <w:b/>
          <w:bCs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         </w:t>
      </w:r>
      <w:r w:rsidR="00856C3C">
        <w:rPr>
          <w:rFonts w:eastAsia="Times New Roman"/>
          <w:sz w:val="24"/>
          <w:szCs w:val="24"/>
          <w:lang w:val="ru-RU" w:eastAsia="ru-RU"/>
        </w:rPr>
        <w:t xml:space="preserve">   </w:t>
      </w:r>
      <w:r w:rsidRPr="00747BBC">
        <w:rPr>
          <w:rFonts w:eastAsia="Times New Roman"/>
          <w:b/>
          <w:sz w:val="24"/>
          <w:szCs w:val="24"/>
          <w:lang w:val="ru-RU" w:eastAsia="ru-RU"/>
        </w:rPr>
        <w:t xml:space="preserve">Перечень программных мероприятий и их объемы финансирования 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715"/>
        <w:gridCol w:w="1641"/>
        <w:gridCol w:w="616"/>
        <w:gridCol w:w="885"/>
        <w:gridCol w:w="1048"/>
        <w:gridCol w:w="766"/>
        <w:gridCol w:w="900"/>
        <w:gridCol w:w="585"/>
        <w:gridCol w:w="268"/>
        <w:gridCol w:w="857"/>
      </w:tblGrid>
      <w:tr w:rsidR="00747BBC" w:rsidRPr="00747BBC" w:rsidTr="00747BBC">
        <w:trPr>
          <w:trHeight w:val="343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№</w:t>
            </w:r>
          </w:p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proofErr w:type="gramStart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/п</w:t>
            </w:r>
            <w:r w:rsidRPr="00747BBC">
              <w:rPr>
                <w:rFonts w:eastAsia="Times New Roman"/>
                <w:lang w:val="ru-RU" w:eastAsia="ru-RU"/>
              </w:rPr>
              <w:t xml:space="preserve">   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Решаемые задачи, программные мероприятия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Источники</w:t>
            </w:r>
          </w:p>
          <w:p w:rsidR="00747BBC" w:rsidRPr="00747BBC" w:rsidRDefault="00747BBC" w:rsidP="00747BBC">
            <w:pPr>
              <w:widowControl/>
              <w:autoSpaceDE/>
              <w:autoSpaceDN/>
              <w:spacing w:after="119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финансирования</w:t>
            </w:r>
          </w:p>
        </w:tc>
        <w:tc>
          <w:tcPr>
            <w:tcW w:w="3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Финансирование (</w:t>
            </w:r>
            <w:proofErr w:type="spellStart"/>
            <w:r w:rsidRPr="00747BBC">
              <w:rPr>
                <w:rFonts w:eastAsia="Times New Roman"/>
                <w:bCs/>
                <w:lang w:val="ru-RU" w:eastAsia="ru-RU"/>
              </w:rPr>
              <w:t>тыс</w:t>
            </w:r>
            <w:proofErr w:type="gramStart"/>
            <w:r w:rsidRPr="00747BBC">
              <w:rPr>
                <w:rFonts w:eastAsia="Times New Roman"/>
                <w:bCs/>
                <w:lang w:val="ru-RU" w:eastAsia="ru-RU"/>
              </w:rPr>
              <w:t>.р</w:t>
            </w:r>
            <w:proofErr w:type="gramEnd"/>
            <w:r w:rsidRPr="00747BBC">
              <w:rPr>
                <w:rFonts w:eastAsia="Times New Roman"/>
                <w:bCs/>
                <w:lang w:val="ru-RU" w:eastAsia="ru-RU"/>
              </w:rPr>
              <w:t>уб</w:t>
            </w:r>
            <w:proofErr w:type="spellEnd"/>
            <w:r w:rsidRPr="00747BBC">
              <w:rPr>
                <w:rFonts w:eastAsia="Times New Roman"/>
                <w:bCs/>
                <w:lang w:val="ru-RU" w:eastAsia="ru-RU"/>
              </w:rPr>
              <w:t>.)</w:t>
            </w:r>
          </w:p>
        </w:tc>
      </w:tr>
      <w:tr w:rsidR="00747BBC" w:rsidRPr="00747BBC" w:rsidTr="00747BBC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2025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всего</w:t>
            </w:r>
          </w:p>
        </w:tc>
      </w:tr>
      <w:tr w:rsidR="00747BBC" w:rsidRPr="00747BBC" w:rsidTr="00747BBC">
        <w:trPr>
          <w:trHeight w:val="1045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 xml:space="preserve">Внесение изменений в генеральный план  в части  подготовки  сведений о границах населенных пунктов </w:t>
            </w:r>
            <w:proofErr w:type="spellStart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Подосиновского</w:t>
            </w:r>
            <w:proofErr w:type="spellEnd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городского поселения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599,0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599,0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lang w:val="ru-RU" w:eastAsia="ru-RU"/>
              </w:rPr>
              <w:t>1448,0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125,0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59,9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244,8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125,0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539,1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539,1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1203,2</w:t>
            </w:r>
          </w:p>
        </w:tc>
      </w:tr>
      <w:tr w:rsidR="00747BBC" w:rsidRPr="00747BBC" w:rsidTr="00747BBC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2.3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 xml:space="preserve">Внесение изменений в ПЗЗ в части подготовки сведений о границах территориальных зон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590,0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599,0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1389,0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218,9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highlight w:val="green"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531,0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539,1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1170,1</w:t>
            </w:r>
          </w:p>
        </w:tc>
      </w:tr>
      <w:tr w:rsidR="00747BBC" w:rsidRPr="00747BBC" w:rsidTr="00747BB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ind w:right="-68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450,0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1189,0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ar-SA"/>
              </w:rPr>
              <w:t>1198,0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2837,0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Основные меры правового регулирования в сфере реализации муниципальной программы.</w:t>
      </w:r>
    </w:p>
    <w:p w:rsidR="00747BBC" w:rsidRPr="00747BBC" w:rsidRDefault="00747BBC" w:rsidP="00747BBC">
      <w:pPr>
        <w:suppressAutoHyphens/>
        <w:autoSpaceDN/>
        <w:spacing w:before="200"/>
        <w:ind w:firstLine="851"/>
        <w:jc w:val="both"/>
        <w:rPr>
          <w:rFonts w:eastAsia="Arial"/>
          <w:sz w:val="24"/>
          <w:szCs w:val="24"/>
          <w:lang w:val="ru-RU" w:eastAsia="hi-IN" w:bidi="hi-IN"/>
        </w:rPr>
      </w:pPr>
      <w:r w:rsidRPr="00747BBC">
        <w:rPr>
          <w:rFonts w:eastAsia="Arial"/>
          <w:sz w:val="24"/>
          <w:szCs w:val="24"/>
          <w:lang w:val="ru-RU" w:eastAsia="hi-IN" w:bidi="hi-IN"/>
        </w:rPr>
        <w:lastRenderedPageBreak/>
        <w:t xml:space="preserve">В качестве основы была использована государственная </w:t>
      </w:r>
      <w:hyperlink r:id="rId8" w:anchor="Par38" w:tooltip="ГОСУДАРСТВЕННАЯ ПРОГРАММА" w:history="1">
        <w:proofErr w:type="gramStart"/>
        <w:r w:rsidRPr="00747BBC">
          <w:rPr>
            <w:rFonts w:eastAsia="Arial"/>
            <w:color w:val="0000FF"/>
            <w:sz w:val="24"/>
            <w:szCs w:val="24"/>
            <w:lang w:val="ru-RU" w:eastAsia="hi-IN" w:bidi="hi-IN"/>
          </w:rPr>
          <w:t>программ</w:t>
        </w:r>
        <w:proofErr w:type="gramEnd"/>
      </w:hyperlink>
      <w:r w:rsidRPr="00747BBC">
        <w:rPr>
          <w:rFonts w:eastAsia="Arial"/>
          <w:sz w:val="24"/>
          <w:szCs w:val="24"/>
          <w:lang w:val="ru-RU" w:eastAsia="hi-IN" w:bidi="hi-IN"/>
        </w:rPr>
        <w:t xml:space="preserve">а Кировской области "Обеспечение доступным и комфортным жильем и коммунальными услугами жителей Кировской области" 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 </w:t>
      </w: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Ресурсное обеспечение муниципальной программы.</w:t>
      </w:r>
    </w:p>
    <w:p w:rsidR="00747BBC" w:rsidRPr="00747BBC" w:rsidRDefault="00747BBC" w:rsidP="00747BBC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Общий объем финансирования муниципальной программы на 2020 - 2025 годы составит 2837,0 тыс. рублей, в том числе: средства бюджетов поселений</w:t>
      </w:r>
      <w:r w:rsidRPr="00747BBC">
        <w:rPr>
          <w:sz w:val="24"/>
          <w:szCs w:val="24"/>
          <w:lang w:val="ru-RU"/>
        </w:rPr>
        <w:t>– 463,7тысяч рублей,</w:t>
      </w:r>
    </w:p>
    <w:p w:rsidR="00747BBC" w:rsidRPr="00747BBC" w:rsidRDefault="00747BBC" w:rsidP="00747BBC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>средства  областного бюджета –2373,3 тысяч рублей</w:t>
      </w:r>
    </w:p>
    <w:p w:rsidR="00747BBC" w:rsidRPr="00747BBC" w:rsidRDefault="00747BBC" w:rsidP="00747BBC">
      <w:pPr>
        <w:widowControl/>
        <w:suppressAutoHyphens/>
        <w:autoSpaceDN/>
        <w:spacing w:line="36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suppressAutoHyphens/>
        <w:autoSpaceDN/>
        <w:spacing w:line="36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747BBC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Объем финансирования муниципальной программы по годам    </w:t>
      </w:r>
    </w:p>
    <w:p w:rsidR="00747BBC" w:rsidRPr="00747BBC" w:rsidRDefault="00747BBC" w:rsidP="00747BBC">
      <w:pPr>
        <w:widowControl/>
        <w:suppressAutoHyphens/>
        <w:autoSpaceDN/>
        <w:spacing w:line="360" w:lineRule="auto"/>
        <w:ind w:firstLine="709"/>
        <w:jc w:val="right"/>
        <w:rPr>
          <w:rFonts w:eastAsia="Times New Roman"/>
          <w:color w:val="000000"/>
          <w:sz w:val="24"/>
          <w:szCs w:val="24"/>
          <w:lang w:val="ru-RU" w:eastAsia="ru-RU"/>
        </w:rPr>
      </w:pPr>
      <w:r w:rsidRPr="00747BBC">
        <w:rPr>
          <w:rFonts w:eastAsia="Times New Roman"/>
          <w:color w:val="000000"/>
          <w:sz w:val="24"/>
          <w:szCs w:val="24"/>
          <w:lang w:val="ru-RU" w:eastAsia="ru-RU"/>
        </w:rPr>
        <w:t xml:space="preserve">Таблица 3                                                                                                                                                   </w:t>
      </w:r>
    </w:p>
    <w:p w:rsidR="00747BBC" w:rsidRPr="00747BBC" w:rsidRDefault="00747BBC" w:rsidP="00747BBC">
      <w:pPr>
        <w:widowControl/>
        <w:suppressAutoHyphens/>
        <w:autoSpaceDE/>
        <w:autoSpaceDN/>
        <w:ind w:firstLine="851"/>
        <w:jc w:val="both"/>
        <w:rPr>
          <w:rFonts w:eastAsia="Times New Roman"/>
          <w:color w:val="000000"/>
          <w:spacing w:val="-1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Таблицу 3 «</w:t>
      </w:r>
      <w:r w:rsidRPr="00747BBC">
        <w:rPr>
          <w:rFonts w:eastAsia="Times New Roman"/>
          <w:color w:val="000000"/>
          <w:sz w:val="24"/>
          <w:szCs w:val="24"/>
          <w:lang w:val="ru-RU" w:eastAsia="ru-RU"/>
        </w:rPr>
        <w:t>Объем финансирования муниципальной программы по годам</w:t>
      </w:r>
      <w:r w:rsidRPr="00747BBC">
        <w:rPr>
          <w:rFonts w:eastAsia="Times New Roman"/>
          <w:sz w:val="24"/>
          <w:szCs w:val="24"/>
          <w:lang w:val="ru-RU" w:eastAsia="ru-RU"/>
        </w:rPr>
        <w:t>» изложить в новой редакции</w:t>
      </w:r>
      <w:r w:rsidRPr="00747BBC">
        <w:rPr>
          <w:rFonts w:eastAsia="Times New Roman"/>
          <w:color w:val="000000"/>
          <w:spacing w:val="-1"/>
          <w:sz w:val="24"/>
          <w:szCs w:val="24"/>
          <w:lang w:val="ru-RU" w:eastAsia="ru-RU"/>
        </w:rPr>
        <w:t>:</w:t>
      </w:r>
    </w:p>
    <w:tbl>
      <w:tblPr>
        <w:tblpPr w:leftFromText="180" w:rightFromText="180" w:bottomFromText="200" w:vertAnchor="text" w:horzAnchor="page" w:tblpX="1668" w:tblpY="328"/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1187"/>
        <w:gridCol w:w="937"/>
        <w:gridCol w:w="850"/>
        <w:gridCol w:w="966"/>
        <w:gridCol w:w="876"/>
        <w:gridCol w:w="1823"/>
        <w:gridCol w:w="1294"/>
      </w:tblGrid>
      <w:tr w:rsidR="00747BBC" w:rsidRPr="002B6F37" w:rsidTr="00747BB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Источник финансирования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 по Программе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Объемы финансирования по годам, тыс. рублей</w:t>
            </w:r>
          </w:p>
        </w:tc>
      </w:tr>
      <w:tr w:rsidR="00747BBC" w:rsidRPr="00747BBC" w:rsidTr="00747B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2025</w:t>
            </w:r>
          </w:p>
        </w:tc>
      </w:tr>
      <w:tr w:rsidR="00747BBC" w:rsidRPr="00747BBC" w:rsidTr="00747B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BBC" w:rsidRPr="00747BBC" w:rsidRDefault="00747BBC" w:rsidP="00747BBC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1070,1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1078,2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747BBC" w:rsidRPr="00747BBC" w:rsidTr="00747B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BBC" w:rsidRPr="00747BBC" w:rsidRDefault="00747BBC" w:rsidP="00747BBC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118,9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747BBC" w:rsidRPr="00747BBC" w:rsidTr="00747B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BBC" w:rsidRPr="00747BBC" w:rsidRDefault="00747BBC" w:rsidP="00747BBC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450,0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1189,0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ind w:firstLine="709"/>
        <w:contextualSpacing/>
        <w:jc w:val="both"/>
        <w:rPr>
          <w:rFonts w:eastAsia="Times New Roman"/>
          <w:sz w:val="20"/>
          <w:szCs w:val="20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firstLine="709"/>
        <w:contextualSpacing/>
        <w:jc w:val="both"/>
        <w:rPr>
          <w:rFonts w:eastAsia="Times New Roman"/>
          <w:sz w:val="20"/>
          <w:szCs w:val="20"/>
          <w:lang w:val="ru-RU" w:eastAsia="ru-RU"/>
        </w:rPr>
      </w:pPr>
    </w:p>
    <w:p w:rsidR="00747BBC" w:rsidRPr="00747BBC" w:rsidRDefault="00747BBC" w:rsidP="00747BBC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Анализ рисков реализации муниципальной программы и описание мер управления рисками.</w:t>
      </w:r>
    </w:p>
    <w:p w:rsidR="00747BBC" w:rsidRPr="00747BBC" w:rsidRDefault="00856C3C" w:rsidP="00747BBC">
      <w:pPr>
        <w:widowControl/>
        <w:autoSpaceDE/>
        <w:autoSpaceDN/>
        <w:ind w:left="80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747BBC" w:rsidRPr="00747BBC">
        <w:rPr>
          <w:sz w:val="24"/>
          <w:szCs w:val="24"/>
          <w:lang w:val="ru-RU"/>
        </w:rPr>
        <w:t>Таблица 4</w:t>
      </w: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5302"/>
      </w:tblGrid>
      <w:tr w:rsidR="00747BBC" w:rsidRPr="00747BBC" w:rsidTr="00747BBC">
        <w:trPr>
          <w:tblCellSpacing w:w="0" w:type="dxa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Риски</w:t>
            </w:r>
          </w:p>
        </w:tc>
        <w:tc>
          <w:tcPr>
            <w:tcW w:w="4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Меры управления рисками</w:t>
            </w:r>
          </w:p>
        </w:tc>
      </w:tr>
      <w:tr w:rsidR="00747BBC" w:rsidRPr="002B6F37" w:rsidTr="00747BBC">
        <w:trPr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Изменение федерального и областного законодательства в сфере реализации муниципальной программы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 xml:space="preserve">Проведение регулярного мониторинга планируемых изменений в федеральном и областном законодательстве и своевременная корректировка нормативных муниципальных правовых актов </w:t>
            </w:r>
          </w:p>
        </w:tc>
      </w:tr>
      <w:tr w:rsidR="00747BBC" w:rsidRPr="00747BBC" w:rsidTr="00747BBC">
        <w:trPr>
          <w:trHeight w:val="284"/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Неэффективное управление и организация реализации муниципальной программы, неэффективное использование бюджетных средств, недофинансирование муниципальной программы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Разработка и внедрение эффективной системы контроля и управления реализацией мероприятий муниципальной программы, ежеквартальная оценка эффективности использования бюджетных средств. Мониторинг результативности и эффективности реализации муниципальной программы</w:t>
            </w:r>
          </w:p>
        </w:tc>
      </w:tr>
      <w:tr w:rsidR="00747BBC" w:rsidRPr="00747BBC" w:rsidTr="00747BBC">
        <w:trPr>
          <w:trHeight w:val="3200"/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 xml:space="preserve">Снижение темпов экономического роста, снижение спроса на жилье, сокращение инвестиций в строительную отрасль.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 xml:space="preserve">Проведение комплексного анализа в ходе исполнения муниципальной программы с дальнейшим пересмотром критериев оценки и мероприятий муниципальной программы. Оперативное реагирование и своевременное внесение изменений в муниципальную программу с целью снижения воздействия негативных факторов на выполнение целевых показателей муниципальной программы. Своевременная разработка и внедрение антикризисных мер. 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Методика оценки эффективности реализации муниципальной программы.</w:t>
      </w:r>
    </w:p>
    <w:p w:rsidR="00747BBC" w:rsidRPr="00747BBC" w:rsidRDefault="00747BBC" w:rsidP="00747BBC">
      <w:pPr>
        <w:widowControl/>
        <w:autoSpaceDE/>
        <w:autoSpaceDN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Оценка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осуществляется по формуле: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= </w:t>
      </w:r>
      <w:r w:rsidRPr="00747BBC">
        <w:rPr>
          <w:rFonts w:eastAsia="Times New Roman"/>
          <w:sz w:val="24"/>
          <w:szCs w:val="24"/>
          <w:lang w:eastAsia="ru-RU"/>
        </w:rPr>
        <w:t>SUM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П</w:t>
      </w:r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lang w:val="ru-RU" w:eastAsia="ru-RU"/>
        </w:rPr>
        <w:t>, где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  – степень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(%);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– степень достижения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(%); 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–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количество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показателей эффективности реализации муниципальной программы.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Степень достижения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для показателей, желательной тенденцией развития которых является рост значений: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П</w:t>
      </w:r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=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/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х 100%;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для показателей, желательной тенденцией развития которых является снижение значений: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П</w:t>
      </w:r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=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х 100%, где: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– плановое значение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 (соответствующих единиц измерения),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– фактическое значение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 (соответствующих единиц измерения).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Оценка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сравнения фактических сроков реализации мероприятий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по конкретным объектам, утверждаемым Администрацией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Подосиновского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района в рамках муниципальной программы, с запланированными осуществляется по формуле: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=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ф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 </w:t>
      </w:r>
      <w:r w:rsidRPr="00747BBC">
        <w:rPr>
          <w:rFonts w:eastAsia="Times New Roman"/>
          <w:sz w:val="24"/>
          <w:szCs w:val="24"/>
          <w:lang w:val="ru-RU" w:eastAsia="ru-RU"/>
        </w:rPr>
        <w:t>х 100%, где: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уровень выполнения мероприятий муниципальной программы, (%);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ф </w:t>
      </w:r>
      <w:r w:rsidRPr="00747BBC">
        <w:rPr>
          <w:rFonts w:eastAsia="Times New Roman"/>
          <w:sz w:val="24"/>
          <w:szCs w:val="24"/>
          <w:lang w:val="ru-RU" w:eastAsia="ru-RU"/>
        </w:rPr>
        <w:t>–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 (единиц);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gramStart"/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– количество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Если мероприятие, включенное в план реализации муниципальной программы, является переходящим, оценка его выполнения осуществляется по окончании срока его реализации, указанного в плане реализации муниципальной программы.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У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ф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=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Х </w:t>
      </w:r>
      <w:r w:rsidRPr="00747BBC">
        <w:rPr>
          <w:rFonts w:eastAsia="Times New Roman"/>
          <w:sz w:val="24"/>
          <w:szCs w:val="24"/>
          <w:lang w:val="ru-RU" w:eastAsia="ru-RU"/>
        </w:rPr>
        <w:t>100%, где: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suppressAutoHyphens/>
        <w:autoSpaceDN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         У</w:t>
      </w:r>
      <w:r w:rsidRPr="00747BBC">
        <w:rPr>
          <w:rFonts w:eastAsia="Times New Roman" w:cs="Arial"/>
          <w:sz w:val="24"/>
          <w:szCs w:val="24"/>
          <w:vertAlign w:val="subscript"/>
          <w:lang w:val="ru-RU" w:eastAsia="ru-RU" w:bidi="hi-IN"/>
        </w:rPr>
        <w:t>ф</w:t>
      </w: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</w:t>
      </w:r>
      <w:r w:rsidRPr="00747BBC">
        <w:rPr>
          <w:rFonts w:eastAsia="Arial"/>
          <w:sz w:val="24"/>
          <w:szCs w:val="24"/>
          <w:lang w:val="ru-RU" w:eastAsia="hi-IN" w:bidi="hi-IN"/>
        </w:rPr>
        <w:t xml:space="preserve">-  </w:t>
      </w:r>
      <w:r w:rsidRPr="00747BBC">
        <w:rPr>
          <w:rFonts w:eastAsia="Times New Roman"/>
          <w:sz w:val="24"/>
          <w:szCs w:val="24"/>
          <w:lang w:val="ru-RU" w:eastAsia="ru-RU"/>
        </w:rPr>
        <w:t>уровень финансирования муниципальной  программы в целом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(%);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lastRenderedPageBreak/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Оценка эффективности реализации муниципальной программы производится по формуле: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= (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+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+ У</w:t>
      </w:r>
      <w:proofErr w:type="gram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lang w:val="ru-RU" w:eastAsia="ru-RU"/>
        </w:rPr>
        <w:t>)/3, где: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pacing w:val="-8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pacing w:val="-8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pacing w:val="-8"/>
          <w:sz w:val="24"/>
          <w:szCs w:val="24"/>
          <w:lang w:val="ru-RU" w:eastAsia="ru-RU"/>
        </w:rPr>
        <w:t xml:space="preserve"> – оценка эффективности реализации </w:t>
      </w:r>
      <w:r w:rsidRPr="00747BBC">
        <w:rPr>
          <w:rFonts w:eastAsia="Times New Roman"/>
          <w:sz w:val="24"/>
          <w:szCs w:val="24"/>
          <w:lang w:val="ru-RU" w:eastAsia="ru-RU"/>
        </w:rPr>
        <w:t>муниципальной п</w:t>
      </w:r>
      <w:r w:rsidRPr="00747BBC">
        <w:rPr>
          <w:rFonts w:eastAsia="Times New Roman"/>
          <w:spacing w:val="-8"/>
          <w:sz w:val="24"/>
          <w:szCs w:val="24"/>
          <w:lang w:val="ru-RU" w:eastAsia="ru-RU"/>
        </w:rPr>
        <w:t>рограммы</w:t>
      </w:r>
      <w:proofErr w:type="gramStart"/>
      <w:r w:rsidRPr="00747BBC">
        <w:rPr>
          <w:rFonts w:eastAsia="Times New Roman"/>
          <w:spacing w:val="-8"/>
          <w:sz w:val="24"/>
          <w:szCs w:val="24"/>
          <w:lang w:val="ru-RU" w:eastAsia="ru-RU"/>
        </w:rPr>
        <w:t xml:space="preserve"> (%);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степень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(%);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уровень выполнения мероприятий муниципальной программы (%);</w:t>
      </w:r>
    </w:p>
    <w:p w:rsidR="00747BBC" w:rsidRPr="00747BBC" w:rsidRDefault="00747BBC" w:rsidP="00747BBC">
      <w:pPr>
        <w:suppressAutoHyphens/>
        <w:autoSpaceDN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         У</w:t>
      </w:r>
      <w:r w:rsidRPr="00747BBC">
        <w:rPr>
          <w:rFonts w:eastAsia="Times New Roman" w:cs="Arial"/>
          <w:sz w:val="24"/>
          <w:szCs w:val="24"/>
          <w:vertAlign w:val="subscript"/>
          <w:lang w:val="ru-RU" w:eastAsia="ru-RU" w:bidi="hi-IN"/>
        </w:rPr>
        <w:t>ф</w:t>
      </w: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– </w:t>
      </w:r>
      <w:r w:rsidRPr="00747BBC">
        <w:rPr>
          <w:rFonts w:eastAsia="Times New Roman"/>
          <w:sz w:val="24"/>
          <w:szCs w:val="24"/>
          <w:lang w:val="ru-RU" w:eastAsia="ru-RU"/>
        </w:rPr>
        <w:t>уровень финансирования муниципальной  программы в целом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(%).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В целях оценки эффективности реализации муниципальной программы устанавливаются следующие критерии: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если значение показателя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равно 80% и выше, то уровень эффективности реализации муниципальной программы оценивается как высокий;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если значение показателя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от 50 до 80%, то уровень эффективности реализации муниципальной программы оценивается как удовлетворительный;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если значение показателя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ниже 50%, то уровень эффективности реализации муниципальной программы оценивается как неудовлетворительный.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Оценка эффективности муниципальной программы осуществляется в соответствии с постановлением Администрации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Подосиновского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района Кировской области от</w:t>
      </w:r>
      <w:r w:rsidRPr="00747BBC">
        <w:rPr>
          <w:rFonts w:eastAsia="Times New Roman"/>
          <w:color w:val="C00000"/>
          <w:sz w:val="24"/>
          <w:szCs w:val="24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02.08.2013 №</w:t>
      </w:r>
      <w:r w:rsidR="00856C3C">
        <w:rPr>
          <w:rFonts w:eastAsia="Times New Roman"/>
          <w:sz w:val="24"/>
          <w:szCs w:val="24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166 «О разработке, реализации и оценке эффективности реализации муниципальных программ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Подосиновского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района».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Участие муниципальных образований района в реализации Муниципальной программы.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В рамках мероприятий  муниципальной программы "Развитие строительства и архитектуры»  муниципальные образования реализуют свои полномочия: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 xml:space="preserve">по разработке градостроительной документации, разработке документации по планировке территории в соответствии с Градостроительным </w:t>
      </w:r>
      <w:hyperlink r:id="rId9" w:history="1">
        <w:r w:rsidRPr="00747BBC">
          <w:rPr>
            <w:color w:val="000000"/>
            <w:sz w:val="24"/>
            <w:szCs w:val="24"/>
            <w:lang w:val="ru-RU"/>
          </w:rPr>
          <w:t>кодексом</w:t>
        </w:r>
      </w:hyperlink>
      <w:r w:rsidRPr="00747BBC">
        <w:rPr>
          <w:color w:val="000000"/>
          <w:sz w:val="24"/>
          <w:szCs w:val="24"/>
          <w:lang w:val="ru-RU"/>
        </w:rPr>
        <w:t xml:space="preserve"> Российской Федерации, для этого муниципальные образования: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закладывают  средства в бюджет поселений на разработку градостроительной документации, межевания участков;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 xml:space="preserve">заключают договор с подрядной организацией на выполнение работ по разработке градостроительной документации, межевания участков; 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принимают работы по исполнению муниципального договора (проведение процедур утверждения градостроительной документации);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оплачивают работы в сроки, установле</w:t>
      </w:r>
      <w:r>
        <w:rPr>
          <w:color w:val="000000"/>
          <w:sz w:val="24"/>
          <w:szCs w:val="24"/>
          <w:lang w:val="ru-RU"/>
        </w:rPr>
        <w:t>нные муниципальными  договорами.</w:t>
      </w:r>
    </w:p>
    <w:p w:rsidR="00747BBC" w:rsidRPr="00747BBC" w:rsidRDefault="00747BBC" w:rsidP="00747BBC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spacing w:after="200" w:line="276" w:lineRule="auto"/>
        <w:rPr>
          <w:rFonts w:ascii="Calibri" w:hAnsi="Calibri"/>
          <w:lang w:val="ru-RU"/>
        </w:rPr>
      </w:pPr>
    </w:p>
    <w:p w:rsidR="00E57690" w:rsidRPr="00CD3573" w:rsidRDefault="00E57690" w:rsidP="00747BBC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sectPr w:rsidR="00E57690" w:rsidRPr="00CD3573" w:rsidSect="00856C3C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BD3"/>
    <w:multiLevelType w:val="hybridMultilevel"/>
    <w:tmpl w:val="F6801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3882"/>
    <w:multiLevelType w:val="hybridMultilevel"/>
    <w:tmpl w:val="919A6B12"/>
    <w:lvl w:ilvl="0" w:tplc="92D2FC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8"/>
    <w:rsid w:val="00016E82"/>
    <w:rsid w:val="0014682C"/>
    <w:rsid w:val="002B6F37"/>
    <w:rsid w:val="0036096A"/>
    <w:rsid w:val="00431772"/>
    <w:rsid w:val="004D0646"/>
    <w:rsid w:val="00747BBC"/>
    <w:rsid w:val="007A634A"/>
    <w:rsid w:val="00856C3C"/>
    <w:rsid w:val="009909AB"/>
    <w:rsid w:val="00A86EAC"/>
    <w:rsid w:val="00CB7E4E"/>
    <w:rsid w:val="00CD3573"/>
    <w:rsid w:val="00E57690"/>
    <w:rsid w:val="00F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17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F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3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17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F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3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Yr@\&#1052;&#1086;&#1080;%20&#1076;&#1086;&#1082;&#1091;&#1084;&#1077;&#1085;&#1090;&#1099;\Downloads\gpstroy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s://podosinovskoe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6EBB5CF6FB64CFF37C109489753026AC3156960FAD74369F8EDC71B7j0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D953-DB9F-4C10-BD49-93D9A85D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Olga</cp:lastModifiedBy>
  <cp:revision>8</cp:revision>
  <cp:lastPrinted>2023-10-13T06:12:00Z</cp:lastPrinted>
  <dcterms:created xsi:type="dcterms:W3CDTF">2022-06-09T07:26:00Z</dcterms:created>
  <dcterms:modified xsi:type="dcterms:W3CDTF">2023-10-13T06:15:00Z</dcterms:modified>
</cp:coreProperties>
</file>